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8C37" w14:textId="54DFC0DE" w:rsidR="009F2849" w:rsidRPr="00A43AB2" w:rsidRDefault="009F2849" w:rsidP="00981180">
      <w:pPr>
        <w:jc w:val="right"/>
        <w:rPr>
          <w:rFonts w:ascii="Arial" w:hAnsi="Arial" w:cs="Arial"/>
          <w:sz w:val="18"/>
          <w:szCs w:val="18"/>
        </w:rPr>
      </w:pPr>
      <w:r w:rsidRPr="00A43AB2">
        <w:rPr>
          <w:rFonts w:ascii="Arial" w:hAnsi="Arial" w:cs="Arial"/>
          <w:sz w:val="18"/>
          <w:szCs w:val="18"/>
        </w:rPr>
        <w:t>En el siguiente enlace pueden encontrar el video de esta sesión</w:t>
      </w:r>
      <w:r w:rsidR="00FB593D" w:rsidRPr="00A43AB2">
        <w:rPr>
          <w:rFonts w:ascii="Arial" w:hAnsi="Arial" w:cs="Arial"/>
          <w:sz w:val="18"/>
          <w:szCs w:val="18"/>
        </w:rPr>
        <w:t>:</w:t>
      </w:r>
    </w:p>
    <w:p w14:paraId="26F6E84E" w14:textId="6C771C40" w:rsidR="00FB593D" w:rsidRPr="00A43AB2" w:rsidRDefault="00000000" w:rsidP="00981180">
      <w:pPr>
        <w:jc w:val="right"/>
        <w:rPr>
          <w:rFonts w:ascii="Arial" w:hAnsi="Arial" w:cs="Arial"/>
          <w:sz w:val="18"/>
          <w:szCs w:val="18"/>
        </w:rPr>
      </w:pPr>
      <w:hyperlink r:id="rId9" w:history="1">
        <w:r w:rsidR="00FB593D" w:rsidRPr="00A43AB2">
          <w:rPr>
            <w:rStyle w:val="Hipervnculo"/>
            <w:rFonts w:ascii="Arial" w:hAnsi="Arial" w:cs="Arial"/>
            <w:sz w:val="18"/>
            <w:szCs w:val="18"/>
          </w:rPr>
          <w:t>https://www.youtube.com/watch?v=bRMz-8fi2EE</w:t>
        </w:r>
      </w:hyperlink>
    </w:p>
    <w:p w14:paraId="3083A51C" w14:textId="25B57137" w:rsidR="00A43AB2" w:rsidRPr="00A43AB2" w:rsidRDefault="00A43AB2" w:rsidP="00981180">
      <w:pPr>
        <w:jc w:val="right"/>
        <w:rPr>
          <w:rFonts w:ascii="Arial" w:hAnsi="Arial" w:cs="Arial"/>
          <w:sz w:val="18"/>
          <w:szCs w:val="18"/>
        </w:rPr>
      </w:pPr>
      <w:r w:rsidRPr="00A43AB2">
        <w:rPr>
          <w:rFonts w:ascii="Arial" w:hAnsi="Arial" w:cs="Arial"/>
          <w:sz w:val="18"/>
          <w:szCs w:val="18"/>
        </w:rPr>
        <w:t>Enlace con fotografías:</w:t>
      </w:r>
    </w:p>
    <w:p w14:paraId="3CC52259" w14:textId="762ABC11" w:rsidR="00A43AB2" w:rsidRPr="00A43AB2" w:rsidRDefault="00000000" w:rsidP="00981180">
      <w:pPr>
        <w:jc w:val="right"/>
        <w:rPr>
          <w:rFonts w:ascii="Arial" w:hAnsi="Arial" w:cs="Arial"/>
          <w:sz w:val="18"/>
          <w:szCs w:val="18"/>
        </w:rPr>
      </w:pPr>
      <w:hyperlink r:id="rId10" w:history="1">
        <w:r w:rsidR="00A43AB2" w:rsidRPr="00A43AB2">
          <w:rPr>
            <w:rStyle w:val="Hipervnculo"/>
            <w:rFonts w:ascii="Arial" w:hAnsi="Arial" w:cs="Arial"/>
            <w:sz w:val="18"/>
            <w:szCs w:val="18"/>
          </w:rPr>
          <w:t>https://ses1805182e5-my.sharepoint.com/:f:/g/personal/nelly_landeros_sesaj_org/EoCDI4ZNmW1Fp4LzFEPJenABWD_grvY-PnqSr0rZcDiioA?e=d6nr2f</w:t>
        </w:r>
      </w:hyperlink>
    </w:p>
    <w:p w14:paraId="3603159E" w14:textId="77777777" w:rsidR="009F2849" w:rsidRDefault="009F2849" w:rsidP="00A43AB2">
      <w:pPr>
        <w:rPr>
          <w:rFonts w:ascii="Arial" w:hAnsi="Arial" w:cs="Arial"/>
          <w:sz w:val="22"/>
          <w:szCs w:val="22"/>
        </w:rPr>
      </w:pPr>
    </w:p>
    <w:p w14:paraId="0B84C6D2" w14:textId="3CE4F11F" w:rsidR="002B6EAF" w:rsidRPr="0017408D" w:rsidRDefault="00981180" w:rsidP="00981180">
      <w:pPr>
        <w:jc w:val="right"/>
        <w:rPr>
          <w:rFonts w:ascii="Arial" w:hAnsi="Arial" w:cs="Arial"/>
        </w:rPr>
      </w:pPr>
      <w:r w:rsidRPr="0017408D">
        <w:rPr>
          <w:rFonts w:ascii="Arial" w:hAnsi="Arial" w:cs="Arial"/>
        </w:rPr>
        <w:t>Guadalajara, Jalisco</w:t>
      </w:r>
    </w:p>
    <w:p w14:paraId="2C4D2290" w14:textId="11E907DA" w:rsidR="00981180" w:rsidRPr="0017408D" w:rsidRDefault="00981180" w:rsidP="00981180">
      <w:pPr>
        <w:jc w:val="right"/>
        <w:rPr>
          <w:rFonts w:ascii="Arial" w:hAnsi="Arial" w:cs="Arial"/>
        </w:rPr>
      </w:pPr>
      <w:r w:rsidRPr="0017408D">
        <w:rPr>
          <w:rFonts w:ascii="Arial" w:hAnsi="Arial" w:cs="Arial"/>
        </w:rPr>
        <w:t>3</w:t>
      </w:r>
      <w:r w:rsidR="00E17C15" w:rsidRPr="0017408D">
        <w:rPr>
          <w:rFonts w:ascii="Arial" w:hAnsi="Arial" w:cs="Arial"/>
        </w:rPr>
        <w:t>0</w:t>
      </w:r>
      <w:r w:rsidRPr="0017408D">
        <w:rPr>
          <w:rFonts w:ascii="Arial" w:hAnsi="Arial" w:cs="Arial"/>
        </w:rPr>
        <w:t xml:space="preserve"> de marzo de 2023</w:t>
      </w:r>
    </w:p>
    <w:p w14:paraId="5D1BEF51" w14:textId="13B8EEEA" w:rsidR="00981180" w:rsidRPr="0017408D" w:rsidRDefault="00981180" w:rsidP="002D4D77">
      <w:pPr>
        <w:jc w:val="both"/>
        <w:rPr>
          <w:rFonts w:ascii="Arial" w:hAnsi="Arial" w:cs="Arial"/>
        </w:rPr>
      </w:pPr>
    </w:p>
    <w:p w14:paraId="6E77B955" w14:textId="77777777" w:rsidR="00295526" w:rsidRDefault="00981180" w:rsidP="0017408D">
      <w:pPr>
        <w:jc w:val="center"/>
        <w:rPr>
          <w:rFonts w:ascii="Arial" w:hAnsi="Arial" w:cs="Arial"/>
          <w:b/>
          <w:bCs/>
        </w:rPr>
      </w:pPr>
      <w:r w:rsidRPr="0017408D">
        <w:rPr>
          <w:rFonts w:ascii="Arial" w:hAnsi="Arial" w:cs="Arial"/>
          <w:b/>
          <w:bCs/>
        </w:rPr>
        <w:t xml:space="preserve">Aprueban programas de trabajo anual </w:t>
      </w:r>
      <w:r w:rsidR="0017408D" w:rsidRPr="0017408D">
        <w:rPr>
          <w:rFonts w:ascii="Arial" w:hAnsi="Arial" w:cs="Arial"/>
          <w:b/>
          <w:bCs/>
        </w:rPr>
        <w:t xml:space="preserve">del Sistema Estatal Anticorrupción </w:t>
      </w:r>
    </w:p>
    <w:p w14:paraId="75E11431" w14:textId="5778CC0B" w:rsidR="00981180" w:rsidRPr="0017408D" w:rsidRDefault="0017408D" w:rsidP="0017408D">
      <w:pPr>
        <w:jc w:val="center"/>
        <w:rPr>
          <w:rFonts w:ascii="Arial" w:hAnsi="Arial" w:cs="Arial"/>
          <w:b/>
          <w:bCs/>
        </w:rPr>
      </w:pPr>
      <w:r w:rsidRPr="0017408D">
        <w:rPr>
          <w:rFonts w:ascii="Arial" w:hAnsi="Arial" w:cs="Arial"/>
          <w:b/>
          <w:bCs/>
        </w:rPr>
        <w:t xml:space="preserve">y de </w:t>
      </w:r>
      <w:r w:rsidR="002C2B92">
        <w:rPr>
          <w:rFonts w:ascii="Arial" w:hAnsi="Arial" w:cs="Arial"/>
          <w:b/>
          <w:bCs/>
        </w:rPr>
        <w:t>la</w:t>
      </w:r>
      <w:r w:rsidRPr="0017408D">
        <w:rPr>
          <w:rFonts w:ascii="Arial" w:hAnsi="Arial" w:cs="Arial"/>
          <w:b/>
          <w:bCs/>
        </w:rPr>
        <w:t xml:space="preserve"> Secretaría Ejecutiva </w:t>
      </w:r>
    </w:p>
    <w:p w14:paraId="7253D67F" w14:textId="77777777" w:rsidR="0017408D" w:rsidRPr="0017408D" w:rsidRDefault="0017408D" w:rsidP="0017408D">
      <w:pPr>
        <w:jc w:val="center"/>
        <w:rPr>
          <w:rFonts w:ascii="Arial" w:hAnsi="Arial" w:cs="Arial"/>
        </w:rPr>
      </w:pPr>
    </w:p>
    <w:p w14:paraId="195462D7" w14:textId="1FF83370" w:rsidR="00981180" w:rsidRPr="0017408D" w:rsidRDefault="0017408D" w:rsidP="00981180">
      <w:pPr>
        <w:pStyle w:val="Prrafodelista"/>
        <w:numPr>
          <w:ilvl w:val="0"/>
          <w:numId w:val="14"/>
        </w:numPr>
        <w:rPr>
          <w:rFonts w:ascii="Arial" w:hAnsi="Arial" w:cs="Arial"/>
        </w:rPr>
      </w:pPr>
      <w:r w:rsidRPr="0017408D">
        <w:rPr>
          <w:rFonts w:ascii="Arial" w:hAnsi="Arial" w:cs="Arial"/>
        </w:rPr>
        <w:t>Los planes</w:t>
      </w:r>
      <w:r w:rsidR="00981180" w:rsidRPr="0017408D">
        <w:rPr>
          <w:rFonts w:ascii="Arial" w:hAnsi="Arial" w:cs="Arial"/>
        </w:rPr>
        <w:t xml:space="preserve"> 2023-2028</w:t>
      </w:r>
      <w:r w:rsidR="00E333CD" w:rsidRPr="0017408D">
        <w:rPr>
          <w:rFonts w:ascii="Arial" w:hAnsi="Arial" w:cs="Arial"/>
        </w:rPr>
        <w:t xml:space="preserve"> </w:t>
      </w:r>
      <w:r w:rsidRPr="0017408D">
        <w:rPr>
          <w:rFonts w:ascii="Arial" w:hAnsi="Arial" w:cs="Arial"/>
        </w:rPr>
        <w:t xml:space="preserve">fueron aprobados en sesión </w:t>
      </w:r>
      <w:r w:rsidR="00E333CD" w:rsidRPr="0017408D">
        <w:rPr>
          <w:rFonts w:ascii="Arial" w:hAnsi="Arial" w:cs="Arial"/>
        </w:rPr>
        <w:t>de ambos cuerpos colegiados</w:t>
      </w:r>
    </w:p>
    <w:p w14:paraId="4202E818" w14:textId="4946FB7E" w:rsidR="00981180" w:rsidRPr="0017408D" w:rsidRDefault="00981180" w:rsidP="00981180">
      <w:pPr>
        <w:pStyle w:val="Prrafodelista"/>
        <w:numPr>
          <w:ilvl w:val="0"/>
          <w:numId w:val="14"/>
        </w:numPr>
        <w:rPr>
          <w:rFonts w:ascii="Arial" w:hAnsi="Arial" w:cs="Arial"/>
        </w:rPr>
      </w:pPr>
      <w:r w:rsidRPr="0017408D">
        <w:rPr>
          <w:rFonts w:ascii="Arial" w:hAnsi="Arial" w:cs="Arial"/>
        </w:rPr>
        <w:t xml:space="preserve">La sesión se llevó a cabo en la sede del Tribunal de Justicia Administrativa del Estado </w:t>
      </w:r>
    </w:p>
    <w:p w14:paraId="7DC8E00E" w14:textId="09832616" w:rsidR="00E333CD" w:rsidRPr="0017408D" w:rsidRDefault="00E333CD" w:rsidP="00981180">
      <w:pPr>
        <w:pStyle w:val="Prrafodelista"/>
        <w:numPr>
          <w:ilvl w:val="0"/>
          <w:numId w:val="14"/>
        </w:numPr>
        <w:rPr>
          <w:rFonts w:ascii="Arial" w:hAnsi="Arial" w:cs="Arial"/>
        </w:rPr>
      </w:pPr>
      <w:r w:rsidRPr="0017408D">
        <w:rPr>
          <w:rFonts w:ascii="Arial" w:hAnsi="Arial" w:cs="Arial"/>
        </w:rPr>
        <w:t xml:space="preserve">El enfoque de los </w:t>
      </w:r>
      <w:r w:rsidR="0017408D" w:rsidRPr="0017408D">
        <w:rPr>
          <w:rFonts w:ascii="Arial" w:hAnsi="Arial" w:cs="Arial"/>
        </w:rPr>
        <w:t>programas</w:t>
      </w:r>
      <w:r w:rsidRPr="0017408D">
        <w:rPr>
          <w:rFonts w:ascii="Arial" w:hAnsi="Arial" w:cs="Arial"/>
        </w:rPr>
        <w:t xml:space="preserve"> </w:t>
      </w:r>
      <w:r w:rsidR="0017408D" w:rsidRPr="0017408D">
        <w:rPr>
          <w:rFonts w:ascii="Arial" w:hAnsi="Arial" w:cs="Arial"/>
        </w:rPr>
        <w:t>es</w:t>
      </w:r>
      <w:r w:rsidRPr="0017408D">
        <w:rPr>
          <w:rFonts w:ascii="Arial" w:hAnsi="Arial" w:cs="Arial"/>
        </w:rPr>
        <w:t xml:space="preserve"> la implementación de </w:t>
      </w:r>
      <w:r w:rsidR="0017408D" w:rsidRPr="0017408D">
        <w:rPr>
          <w:rFonts w:ascii="Arial" w:hAnsi="Arial" w:cs="Arial"/>
        </w:rPr>
        <w:t xml:space="preserve">acciones anticorrupción con base en </w:t>
      </w:r>
      <w:r w:rsidRPr="0017408D">
        <w:rPr>
          <w:rFonts w:ascii="Arial" w:hAnsi="Arial" w:cs="Arial"/>
        </w:rPr>
        <w:t>la Política Estatal Anticorrupción</w:t>
      </w:r>
    </w:p>
    <w:p w14:paraId="7898DF50" w14:textId="7B702E4B" w:rsidR="00981180" w:rsidRPr="0017408D" w:rsidRDefault="00981180" w:rsidP="001E428D">
      <w:pPr>
        <w:jc w:val="both"/>
        <w:rPr>
          <w:rFonts w:ascii="Arial" w:hAnsi="Arial" w:cs="Arial"/>
        </w:rPr>
      </w:pPr>
    </w:p>
    <w:p w14:paraId="55706186" w14:textId="0B000CC4" w:rsidR="002843AA" w:rsidRPr="0017408D" w:rsidRDefault="005D41D4" w:rsidP="001E2E03">
      <w:pPr>
        <w:jc w:val="both"/>
        <w:rPr>
          <w:rFonts w:ascii="Arial" w:hAnsi="Arial" w:cs="Arial"/>
        </w:rPr>
      </w:pPr>
      <w:r w:rsidRPr="0017408D">
        <w:rPr>
          <w:rFonts w:ascii="Arial" w:hAnsi="Arial" w:cs="Arial"/>
        </w:rPr>
        <w:t>Quedaron aprobados los programas de trabajo anual del Comité Coordinador del Sistema Estatal Anticorrupción (SEAJAL) y de la Secretaría Ejecutiva del Sistema Estatal Anticorrupción (SESAJ), en el marco de</w:t>
      </w:r>
      <w:r w:rsidR="001E428D" w:rsidRPr="0017408D">
        <w:rPr>
          <w:rFonts w:ascii="Arial" w:hAnsi="Arial" w:cs="Arial"/>
        </w:rPr>
        <w:t xml:space="preserve"> l</w:t>
      </w:r>
      <w:r w:rsidRPr="0017408D">
        <w:rPr>
          <w:rFonts w:ascii="Arial" w:hAnsi="Arial" w:cs="Arial"/>
        </w:rPr>
        <w:t xml:space="preserve">a primera y </w:t>
      </w:r>
      <w:r w:rsidR="001E428D" w:rsidRPr="0017408D">
        <w:rPr>
          <w:rFonts w:ascii="Arial" w:hAnsi="Arial" w:cs="Arial"/>
        </w:rPr>
        <w:t xml:space="preserve">la </w:t>
      </w:r>
      <w:r w:rsidRPr="0017408D">
        <w:rPr>
          <w:rFonts w:ascii="Arial" w:hAnsi="Arial" w:cs="Arial"/>
        </w:rPr>
        <w:t>segunda sesión ordinaria</w:t>
      </w:r>
      <w:r w:rsidR="002843AA" w:rsidRPr="0017408D">
        <w:rPr>
          <w:rFonts w:ascii="Arial" w:hAnsi="Arial" w:cs="Arial"/>
        </w:rPr>
        <w:t>, respectivamente, de</w:t>
      </w:r>
      <w:r w:rsidRPr="0017408D">
        <w:rPr>
          <w:rFonts w:ascii="Arial" w:hAnsi="Arial" w:cs="Arial"/>
        </w:rPr>
        <w:t xml:space="preserve"> estos </w:t>
      </w:r>
      <w:r w:rsidR="001E428D" w:rsidRPr="0017408D">
        <w:rPr>
          <w:rFonts w:ascii="Arial" w:hAnsi="Arial" w:cs="Arial"/>
        </w:rPr>
        <w:t xml:space="preserve">dos </w:t>
      </w:r>
      <w:r w:rsidRPr="0017408D">
        <w:rPr>
          <w:rFonts w:ascii="Arial" w:hAnsi="Arial" w:cs="Arial"/>
        </w:rPr>
        <w:t>cuerpos colegiados</w:t>
      </w:r>
      <w:r w:rsidR="002843AA" w:rsidRPr="0017408D">
        <w:rPr>
          <w:rFonts w:ascii="Arial" w:hAnsi="Arial" w:cs="Arial"/>
        </w:rPr>
        <w:t>, con lo que se transita del marco normativo y los instrumentos de planificación a la implementación, ejecución y operación de las estrategias y líneas de acción ant</w:t>
      </w:r>
      <w:r w:rsidR="00FB593D" w:rsidRPr="0017408D">
        <w:rPr>
          <w:rFonts w:ascii="Arial" w:hAnsi="Arial" w:cs="Arial"/>
        </w:rPr>
        <w:t>i</w:t>
      </w:r>
      <w:r w:rsidR="002843AA" w:rsidRPr="0017408D">
        <w:rPr>
          <w:rFonts w:ascii="Arial" w:hAnsi="Arial" w:cs="Arial"/>
        </w:rPr>
        <w:t>corrupción en el estado</w:t>
      </w:r>
      <w:r w:rsidR="00FB593D" w:rsidRPr="0017408D">
        <w:rPr>
          <w:rFonts w:ascii="Arial" w:hAnsi="Arial" w:cs="Arial"/>
        </w:rPr>
        <w:t>, con base en la Política Estatal Anticorrupción (PEAJAL)</w:t>
      </w:r>
      <w:r w:rsidR="00AF372E" w:rsidRPr="0017408D">
        <w:rPr>
          <w:rFonts w:ascii="Arial" w:hAnsi="Arial" w:cs="Arial"/>
        </w:rPr>
        <w:t xml:space="preserve"> y rumbo a la integración de una agenda estatal anticorrupción.</w:t>
      </w:r>
    </w:p>
    <w:p w14:paraId="45725CEB" w14:textId="77777777" w:rsidR="002843AA" w:rsidRPr="0017408D" w:rsidRDefault="002843AA" w:rsidP="001E2E03">
      <w:pPr>
        <w:jc w:val="both"/>
        <w:rPr>
          <w:rFonts w:ascii="Arial" w:hAnsi="Arial" w:cs="Arial"/>
        </w:rPr>
      </w:pPr>
    </w:p>
    <w:p w14:paraId="409DA7E0" w14:textId="5A2D8B7B" w:rsidR="005D41D4" w:rsidRPr="0017408D" w:rsidRDefault="00E333CD" w:rsidP="001E2E03">
      <w:pPr>
        <w:jc w:val="both"/>
        <w:rPr>
          <w:rFonts w:ascii="Arial" w:hAnsi="Arial" w:cs="Arial"/>
        </w:rPr>
      </w:pPr>
      <w:r w:rsidRPr="0017408D">
        <w:rPr>
          <w:rFonts w:ascii="Arial" w:hAnsi="Arial" w:cs="Arial"/>
        </w:rPr>
        <w:t>Este jueves 3</w:t>
      </w:r>
      <w:r w:rsidR="00D024CE" w:rsidRPr="0017408D">
        <w:rPr>
          <w:rFonts w:ascii="Arial" w:hAnsi="Arial" w:cs="Arial"/>
        </w:rPr>
        <w:t>0</w:t>
      </w:r>
      <w:r w:rsidRPr="0017408D">
        <w:rPr>
          <w:rFonts w:ascii="Arial" w:hAnsi="Arial" w:cs="Arial"/>
        </w:rPr>
        <w:t xml:space="preserve"> de marzo r</w:t>
      </w:r>
      <w:r w:rsidR="002843AA" w:rsidRPr="0017408D">
        <w:rPr>
          <w:rFonts w:ascii="Arial" w:hAnsi="Arial" w:cs="Arial"/>
        </w:rPr>
        <w:t>eunidos en la sede del Tribunal de Justicia Administrativa de Jalisco, l</w:t>
      </w:r>
      <w:r w:rsidR="005D41D4" w:rsidRPr="0017408D">
        <w:rPr>
          <w:rFonts w:ascii="Arial" w:hAnsi="Arial" w:cs="Arial"/>
        </w:rPr>
        <w:t>as y los titulares de los entes que conforman</w:t>
      </w:r>
      <w:r w:rsidR="002843AA" w:rsidRPr="0017408D">
        <w:rPr>
          <w:rFonts w:ascii="Arial" w:hAnsi="Arial" w:cs="Arial"/>
        </w:rPr>
        <w:t xml:space="preserve"> estos órganos, </w:t>
      </w:r>
      <w:r w:rsidR="009160B9" w:rsidRPr="0017408D">
        <w:rPr>
          <w:rFonts w:ascii="Arial" w:hAnsi="Arial" w:cs="Arial"/>
        </w:rPr>
        <w:t>aprobaron</w:t>
      </w:r>
      <w:r w:rsidR="002843AA" w:rsidRPr="0017408D">
        <w:rPr>
          <w:rFonts w:ascii="Arial" w:hAnsi="Arial" w:cs="Arial"/>
        </w:rPr>
        <w:t xml:space="preserve"> lo que constituye los primeros planes de trabajo del periodo 2023-2028:</w:t>
      </w:r>
      <w:r w:rsidR="005D41D4" w:rsidRPr="0017408D">
        <w:rPr>
          <w:rFonts w:ascii="Arial" w:hAnsi="Arial" w:cs="Arial"/>
        </w:rPr>
        <w:t xml:space="preserve"> Nancy García Vázquez, </w:t>
      </w:r>
      <w:r w:rsidR="00DE1C32" w:rsidRPr="0017408D">
        <w:rPr>
          <w:rFonts w:ascii="Arial" w:hAnsi="Arial" w:cs="Arial"/>
        </w:rPr>
        <w:t>P</w:t>
      </w:r>
      <w:r w:rsidR="005D41D4" w:rsidRPr="0017408D">
        <w:rPr>
          <w:rFonts w:ascii="Arial" w:hAnsi="Arial" w:cs="Arial"/>
        </w:rPr>
        <w:t xml:space="preserve">residenta del Comité Coordinador y del Comité de Participación Social del SEAJAL; María Teresa Brito Serrano, Contralora del Estado de Jalisco; Salvador Romero Espinosa, Comisionado Presidente del Instituto de Transparencia e Información Pública y Protección de Datos Personales del Estado de Jalisco; </w:t>
      </w:r>
      <w:proofErr w:type="spellStart"/>
      <w:r w:rsidR="00DE1C32" w:rsidRPr="0017408D">
        <w:rPr>
          <w:rFonts w:ascii="Arial" w:hAnsi="Arial" w:cs="Arial"/>
        </w:rPr>
        <w:t>Fany</w:t>
      </w:r>
      <w:proofErr w:type="spellEnd"/>
      <w:r w:rsidR="00DE1C32" w:rsidRPr="0017408D">
        <w:rPr>
          <w:rFonts w:ascii="Arial" w:hAnsi="Arial" w:cs="Arial"/>
        </w:rPr>
        <w:t xml:space="preserve"> Jiménez Aguirre, Presidenta del Tribunal de Justicia Administrativa de Jalisco;</w:t>
      </w:r>
      <w:r w:rsidR="005D41D4" w:rsidRPr="0017408D">
        <w:rPr>
          <w:rFonts w:ascii="Arial" w:hAnsi="Arial" w:cs="Arial"/>
        </w:rPr>
        <w:t xml:space="preserve"> </w:t>
      </w:r>
      <w:r w:rsidR="002843AA" w:rsidRPr="0017408D">
        <w:rPr>
          <w:rFonts w:ascii="Arial" w:hAnsi="Arial" w:cs="Arial"/>
        </w:rPr>
        <w:t>Daniel Espinosa Lic</w:t>
      </w:r>
      <w:r w:rsidR="00DE1C32" w:rsidRPr="0017408D">
        <w:rPr>
          <w:rFonts w:ascii="Arial" w:hAnsi="Arial" w:cs="Arial"/>
        </w:rPr>
        <w:t>ón, Presidente del Consejo de la Judicatura del Poder Judicial del Estado de Jalisco</w:t>
      </w:r>
      <w:r w:rsidR="009160B9" w:rsidRPr="0017408D">
        <w:rPr>
          <w:rFonts w:ascii="Arial" w:hAnsi="Arial" w:cs="Arial"/>
        </w:rPr>
        <w:t xml:space="preserve">; y el Secretario Técnico de la SESAJ, Gilberto Tinajero Díaz. </w:t>
      </w:r>
    </w:p>
    <w:p w14:paraId="1FCECBB1" w14:textId="77777777" w:rsidR="00DE1C32" w:rsidRPr="0017408D" w:rsidRDefault="00DE1C32" w:rsidP="001E2E03">
      <w:pPr>
        <w:jc w:val="both"/>
        <w:rPr>
          <w:rFonts w:ascii="Arial" w:hAnsi="Arial" w:cs="Arial"/>
        </w:rPr>
      </w:pPr>
    </w:p>
    <w:p w14:paraId="1769B956" w14:textId="407C3DF2" w:rsidR="00DE1C32" w:rsidRPr="0017408D" w:rsidRDefault="00DE1C32" w:rsidP="001E2E03">
      <w:pPr>
        <w:jc w:val="both"/>
        <w:rPr>
          <w:rFonts w:ascii="Arial" w:hAnsi="Arial" w:cs="Arial"/>
        </w:rPr>
      </w:pPr>
      <w:r w:rsidRPr="0017408D">
        <w:rPr>
          <w:rFonts w:ascii="Arial" w:hAnsi="Arial" w:cs="Arial"/>
        </w:rPr>
        <w:t xml:space="preserve">El Programa Anual de Trabajo (PTA) del Comité Coordinador (CC) del SEAJAL y el PTA del Órgano de Gobierno de la SESAJ, están alineados en objetivos, y ambos son instrumentos estratégicos en el combate a la corrupción y en la promoción de la integridad pública en Jalisco. </w:t>
      </w:r>
    </w:p>
    <w:p w14:paraId="395A2078" w14:textId="77777777" w:rsidR="00DE1C32" w:rsidRPr="0017408D" w:rsidRDefault="00DE1C32" w:rsidP="001E2E03">
      <w:pPr>
        <w:jc w:val="both"/>
        <w:rPr>
          <w:rFonts w:ascii="Arial" w:hAnsi="Arial" w:cs="Arial"/>
        </w:rPr>
      </w:pPr>
    </w:p>
    <w:p w14:paraId="11EA330F" w14:textId="177B154B" w:rsidR="00D024CE" w:rsidRPr="0017408D" w:rsidRDefault="00D024CE" w:rsidP="001E2E03">
      <w:pPr>
        <w:jc w:val="both"/>
        <w:rPr>
          <w:rFonts w:ascii="Arial" w:hAnsi="Arial" w:cs="Arial"/>
        </w:rPr>
      </w:pPr>
      <w:r w:rsidRPr="0017408D">
        <w:rPr>
          <w:rFonts w:ascii="Arial" w:hAnsi="Arial" w:cs="Arial"/>
        </w:rPr>
        <w:lastRenderedPageBreak/>
        <w:t xml:space="preserve">Para dimensionar el alcance del PTA del Comité Coordinador, hay que distinguir que el SEAJAL, </w:t>
      </w:r>
      <w:r w:rsidRPr="0017408D">
        <w:rPr>
          <w:rFonts w:ascii="Arial" w:hAnsi="Arial" w:cs="Arial"/>
          <w:color w:val="000000" w:themeColor="text1"/>
        </w:rPr>
        <w:t>tiene bajo su encargo el diseño, la promoción, la implementación y la evaluación de políticas públicas de combate a la corrupción</w:t>
      </w:r>
      <w:r w:rsidRPr="0017408D">
        <w:rPr>
          <w:rStyle w:val="Refdenotaalpie"/>
          <w:rFonts w:ascii="Arial" w:hAnsi="Arial" w:cs="Arial"/>
          <w:color w:val="000000" w:themeColor="text1"/>
        </w:rPr>
        <w:footnoteReference w:id="1"/>
      </w:r>
      <w:r w:rsidRPr="0017408D">
        <w:rPr>
          <w:rFonts w:ascii="Arial" w:hAnsi="Arial" w:cs="Arial"/>
          <w:color w:val="000000" w:themeColor="text1"/>
        </w:rPr>
        <w:t xml:space="preserve"> y, además, coordina las relaciones interinstitucionales, incluyendo la pluralidad en los instrumentos de política diseñados y en su instrumentación, operación y ejecución en la fase de implementación.</w:t>
      </w:r>
    </w:p>
    <w:p w14:paraId="60B585FD" w14:textId="77777777" w:rsidR="00D024CE" w:rsidRPr="0017408D" w:rsidRDefault="00D024CE" w:rsidP="001E2E03">
      <w:pPr>
        <w:jc w:val="both"/>
        <w:rPr>
          <w:rFonts w:ascii="Arial" w:hAnsi="Arial" w:cs="Arial"/>
        </w:rPr>
      </w:pPr>
    </w:p>
    <w:p w14:paraId="2EE215F3" w14:textId="5759CECC" w:rsidR="00D024CE" w:rsidRPr="0017408D" w:rsidRDefault="00D024CE" w:rsidP="001E2E03">
      <w:pPr>
        <w:jc w:val="both"/>
        <w:rPr>
          <w:rFonts w:ascii="Arial" w:hAnsi="Arial" w:cs="Arial"/>
        </w:rPr>
      </w:pPr>
      <w:r w:rsidRPr="0017408D">
        <w:rPr>
          <w:rFonts w:ascii="Arial" w:hAnsi="Arial" w:cs="Arial"/>
        </w:rPr>
        <w:t xml:space="preserve">Para cumplir con </w:t>
      </w:r>
      <w:r w:rsidR="009160B9" w:rsidRPr="0017408D">
        <w:rPr>
          <w:rFonts w:ascii="Arial" w:hAnsi="Arial" w:cs="Arial"/>
        </w:rPr>
        <w:t>las</w:t>
      </w:r>
      <w:r w:rsidRPr="0017408D">
        <w:rPr>
          <w:rFonts w:ascii="Arial" w:hAnsi="Arial" w:cs="Arial"/>
        </w:rPr>
        <w:t xml:space="preserve"> expectativas planteadas el Comité Coordinador</w:t>
      </w:r>
      <w:r w:rsidR="00FB593D" w:rsidRPr="0017408D">
        <w:rPr>
          <w:rFonts w:ascii="Arial" w:hAnsi="Arial" w:cs="Arial"/>
        </w:rPr>
        <w:t xml:space="preserve"> </w:t>
      </w:r>
      <w:r w:rsidRPr="0017408D">
        <w:rPr>
          <w:rFonts w:ascii="Arial" w:hAnsi="Arial" w:cs="Arial"/>
        </w:rPr>
        <w:t>integra en el PTA</w:t>
      </w:r>
      <w:r w:rsidR="00FB593D" w:rsidRPr="0017408D">
        <w:rPr>
          <w:rFonts w:ascii="Arial" w:hAnsi="Arial" w:cs="Arial"/>
        </w:rPr>
        <w:t xml:space="preserve"> aprobado</w:t>
      </w:r>
      <w:r w:rsidR="009160B9" w:rsidRPr="0017408D">
        <w:rPr>
          <w:rFonts w:ascii="Arial" w:hAnsi="Arial" w:cs="Arial"/>
        </w:rPr>
        <w:t xml:space="preserve"> un amplio grupo de</w:t>
      </w:r>
      <w:r w:rsidRPr="0017408D">
        <w:rPr>
          <w:rFonts w:ascii="Arial" w:hAnsi="Arial" w:cs="Arial"/>
        </w:rPr>
        <w:t xml:space="preserve"> actividades con base en los fundamentos establecid</w:t>
      </w:r>
      <w:r w:rsidR="009160B9" w:rsidRPr="0017408D">
        <w:rPr>
          <w:rFonts w:ascii="Arial" w:hAnsi="Arial" w:cs="Arial"/>
        </w:rPr>
        <w:t>o</w:t>
      </w:r>
      <w:r w:rsidRPr="0017408D">
        <w:rPr>
          <w:rFonts w:ascii="Arial" w:hAnsi="Arial" w:cs="Arial"/>
        </w:rPr>
        <w:t xml:space="preserve">s en el </w:t>
      </w:r>
      <w:r w:rsidR="009F2849" w:rsidRPr="0017408D">
        <w:rPr>
          <w:rFonts w:ascii="Arial" w:hAnsi="Arial" w:cs="Arial"/>
        </w:rPr>
        <w:t>A</w:t>
      </w:r>
      <w:r w:rsidRPr="0017408D">
        <w:rPr>
          <w:rFonts w:ascii="Arial" w:hAnsi="Arial" w:cs="Arial"/>
        </w:rPr>
        <w:t xml:space="preserve">rtículo 7 de la </w:t>
      </w:r>
      <w:r w:rsidR="009160B9" w:rsidRPr="0017408D">
        <w:rPr>
          <w:rFonts w:ascii="Arial" w:hAnsi="Arial" w:cs="Arial"/>
        </w:rPr>
        <w:t>Ley del Sistema Anticorrupción del Estado de Jalisco (</w:t>
      </w:r>
      <w:r w:rsidRPr="0017408D">
        <w:rPr>
          <w:rFonts w:ascii="Arial" w:hAnsi="Arial" w:cs="Arial"/>
        </w:rPr>
        <w:t>LSAEJ</w:t>
      </w:r>
      <w:r w:rsidR="009160B9" w:rsidRPr="0017408D">
        <w:rPr>
          <w:rFonts w:ascii="Arial" w:hAnsi="Arial" w:cs="Arial"/>
        </w:rPr>
        <w:t>)</w:t>
      </w:r>
      <w:r w:rsidRPr="0017408D">
        <w:rPr>
          <w:rFonts w:ascii="Arial" w:hAnsi="Arial" w:cs="Arial"/>
        </w:rPr>
        <w:t>: Promoción, Diseño,</w:t>
      </w:r>
      <w:r w:rsidR="009160B9" w:rsidRPr="0017408D">
        <w:rPr>
          <w:rFonts w:ascii="Arial" w:hAnsi="Arial" w:cs="Arial"/>
        </w:rPr>
        <w:t xml:space="preserve"> </w:t>
      </w:r>
      <w:r w:rsidRPr="0017408D">
        <w:rPr>
          <w:rFonts w:ascii="Arial" w:hAnsi="Arial" w:cs="Arial"/>
        </w:rPr>
        <w:t>Implementación y Seguimiento y Evaluación</w:t>
      </w:r>
      <w:r w:rsidR="009160B9" w:rsidRPr="0017408D">
        <w:rPr>
          <w:rFonts w:ascii="Arial" w:hAnsi="Arial" w:cs="Arial"/>
        </w:rPr>
        <w:t xml:space="preserve"> de la política anticorrupción. Estas actividades</w:t>
      </w:r>
      <w:r w:rsidRPr="0017408D">
        <w:rPr>
          <w:rFonts w:ascii="Arial" w:hAnsi="Arial" w:cs="Arial"/>
        </w:rPr>
        <w:t xml:space="preserve">, a su vez, se vinculan con los ejes estratégicos de la PEAJAL y sus </w:t>
      </w:r>
      <w:r w:rsidR="009160B9" w:rsidRPr="0017408D">
        <w:rPr>
          <w:rFonts w:ascii="Arial" w:hAnsi="Arial" w:cs="Arial"/>
        </w:rPr>
        <w:t>P</w:t>
      </w:r>
      <w:r w:rsidRPr="0017408D">
        <w:rPr>
          <w:rFonts w:ascii="Arial" w:hAnsi="Arial" w:cs="Arial"/>
        </w:rPr>
        <w:t xml:space="preserve">rogramas Marco de Implementación, considerando un eje adicional denominado Transversal. </w:t>
      </w:r>
    </w:p>
    <w:p w14:paraId="3270D95B" w14:textId="77777777" w:rsidR="00D024CE" w:rsidRPr="0017408D" w:rsidRDefault="00D024CE" w:rsidP="001E2E03">
      <w:pPr>
        <w:jc w:val="both"/>
        <w:rPr>
          <w:rFonts w:ascii="Arial" w:hAnsi="Arial" w:cs="Arial"/>
        </w:rPr>
      </w:pPr>
    </w:p>
    <w:p w14:paraId="7E1F2A7F" w14:textId="7F7D83F0" w:rsidR="009F2849" w:rsidRPr="0017408D" w:rsidRDefault="00D024CE" w:rsidP="001E2E03">
      <w:pPr>
        <w:jc w:val="both"/>
        <w:rPr>
          <w:rFonts w:ascii="Arial" w:hAnsi="Arial" w:cs="Arial"/>
        </w:rPr>
      </w:pPr>
      <w:r w:rsidRPr="0017408D">
        <w:rPr>
          <w:rFonts w:ascii="Arial" w:hAnsi="Arial" w:cs="Arial"/>
        </w:rPr>
        <w:t xml:space="preserve">Transitar a estas líneas de trabajo y ejes rectores, para la categorización de las actividades a desarrollar, garantiza una armonía normativa e institucional con las bases del Sistema Estatal Anticorrupción y el Comité Coordinador que, a su vez, permitirá una mayor cercanía </w:t>
      </w:r>
      <w:r w:rsidR="009160B9" w:rsidRPr="0017408D">
        <w:rPr>
          <w:rFonts w:ascii="Arial" w:hAnsi="Arial" w:cs="Arial"/>
        </w:rPr>
        <w:t>y</w:t>
      </w:r>
      <w:r w:rsidRPr="0017408D">
        <w:rPr>
          <w:rFonts w:ascii="Arial" w:hAnsi="Arial" w:cs="Arial"/>
        </w:rPr>
        <w:t xml:space="preserve"> seguimiento al estado que guarda la Política Estatal Anticorrupción y sus </w:t>
      </w:r>
      <w:r w:rsidR="009F2849" w:rsidRPr="0017408D">
        <w:rPr>
          <w:rFonts w:ascii="Arial" w:hAnsi="Arial" w:cs="Arial"/>
        </w:rPr>
        <w:t>p</w:t>
      </w:r>
      <w:r w:rsidRPr="0017408D">
        <w:rPr>
          <w:rFonts w:ascii="Arial" w:hAnsi="Arial" w:cs="Arial"/>
        </w:rPr>
        <w:t xml:space="preserve">rogramas </w:t>
      </w:r>
      <w:r w:rsidR="009F2849" w:rsidRPr="0017408D">
        <w:rPr>
          <w:rFonts w:ascii="Arial" w:hAnsi="Arial" w:cs="Arial"/>
        </w:rPr>
        <w:t>m</w:t>
      </w:r>
      <w:r w:rsidRPr="0017408D">
        <w:rPr>
          <w:rFonts w:ascii="Arial" w:hAnsi="Arial" w:cs="Arial"/>
        </w:rPr>
        <w:t>arco en el combate a la corrupción y la promoción de la integridad pública.</w:t>
      </w:r>
    </w:p>
    <w:p w14:paraId="13DA0F34" w14:textId="77777777" w:rsidR="009F2849" w:rsidRPr="0017408D" w:rsidRDefault="009F2849" w:rsidP="001E2E03">
      <w:pPr>
        <w:jc w:val="both"/>
        <w:rPr>
          <w:rFonts w:ascii="Arial" w:hAnsi="Arial" w:cs="Arial"/>
        </w:rPr>
      </w:pPr>
    </w:p>
    <w:p w14:paraId="2E4F35E0" w14:textId="08BA0055" w:rsidR="00D024CE" w:rsidRPr="0017408D" w:rsidRDefault="009F2849" w:rsidP="001E2E03">
      <w:pPr>
        <w:jc w:val="both"/>
        <w:rPr>
          <w:rFonts w:ascii="Arial" w:hAnsi="Arial" w:cs="Arial"/>
        </w:rPr>
      </w:pPr>
      <w:r w:rsidRPr="0017408D">
        <w:rPr>
          <w:rFonts w:ascii="Arial" w:hAnsi="Arial" w:cs="Arial"/>
        </w:rPr>
        <w:t>Como es bien sabido, la</w:t>
      </w:r>
      <w:r w:rsidR="00D024CE" w:rsidRPr="0017408D">
        <w:rPr>
          <w:rFonts w:ascii="Arial" w:hAnsi="Arial" w:cs="Arial"/>
        </w:rPr>
        <w:t xml:space="preserve"> apuesta de la PEAJAL, a través de sus ejes, y demás instrumentos de política pública anticorrupción, es incidir en la prevención, detección y sanción de faltas administrativas y hechos que la ley señale como delitos en materia de corrupción, así como la fiscalización y control de recursos públicos. </w:t>
      </w:r>
    </w:p>
    <w:p w14:paraId="5351126F" w14:textId="77777777" w:rsidR="009F2849" w:rsidRPr="0017408D" w:rsidRDefault="009F2849" w:rsidP="001E2E03">
      <w:pPr>
        <w:jc w:val="both"/>
        <w:rPr>
          <w:rFonts w:ascii="Arial" w:hAnsi="Arial" w:cs="Arial"/>
        </w:rPr>
      </w:pPr>
    </w:p>
    <w:p w14:paraId="5C292994" w14:textId="2146AF45" w:rsidR="009F2849" w:rsidRPr="0017408D" w:rsidRDefault="009F2849" w:rsidP="001E2E03">
      <w:pPr>
        <w:jc w:val="both"/>
        <w:rPr>
          <w:rFonts w:ascii="Arial" w:hAnsi="Arial" w:cs="Arial"/>
        </w:rPr>
      </w:pPr>
      <w:r w:rsidRPr="0017408D">
        <w:rPr>
          <w:rFonts w:ascii="Arial" w:hAnsi="Arial" w:cs="Arial"/>
        </w:rPr>
        <w:t xml:space="preserve">Por su parte, </w:t>
      </w:r>
      <w:bookmarkStart w:id="0" w:name="_Hlk131075841"/>
      <w:r w:rsidRPr="0017408D">
        <w:rPr>
          <w:rFonts w:ascii="Arial" w:hAnsi="Arial" w:cs="Arial"/>
        </w:rPr>
        <w:t xml:space="preserve">el Programa de Trabajo Anual 2023 de la Secretaría Ejecutiva del Sistema Estatal Anticorrupción está compuesto por dos tipos de actividades, las técnicas y las de gestión. Agrupa 72 actividades, 39 de ellas orientadas a cumplir con la función de ser apoyo técnico del Comité Coordinador en este trabajo </w:t>
      </w:r>
      <w:r w:rsidR="009160B9" w:rsidRPr="0017408D">
        <w:rPr>
          <w:rFonts w:ascii="Arial" w:hAnsi="Arial" w:cs="Arial"/>
        </w:rPr>
        <w:t>de</w:t>
      </w:r>
      <w:r w:rsidRPr="0017408D">
        <w:rPr>
          <w:rFonts w:ascii="Arial" w:hAnsi="Arial" w:cs="Arial"/>
        </w:rPr>
        <w:t xml:space="preserve"> implementación de la PEAJAL.</w:t>
      </w:r>
    </w:p>
    <w:p w14:paraId="2FBEA7F5" w14:textId="77777777" w:rsidR="00862515" w:rsidRPr="0017408D" w:rsidRDefault="00862515" w:rsidP="001E2E03">
      <w:pPr>
        <w:jc w:val="both"/>
        <w:rPr>
          <w:rFonts w:ascii="Arial" w:hAnsi="Arial" w:cs="Arial"/>
        </w:rPr>
      </w:pPr>
    </w:p>
    <w:bookmarkEnd w:id="0"/>
    <w:p w14:paraId="60532CAB" w14:textId="696A8336" w:rsidR="00862515" w:rsidRPr="0017408D" w:rsidRDefault="00862515" w:rsidP="00862515">
      <w:pPr>
        <w:spacing w:after="160" w:line="259" w:lineRule="auto"/>
        <w:rPr>
          <w:rFonts w:ascii="Arial" w:hAnsi="Arial" w:cs="Arial"/>
        </w:rPr>
      </w:pPr>
      <w:r w:rsidRPr="0017408D">
        <w:rPr>
          <w:rFonts w:ascii="Arial" w:hAnsi="Arial" w:cs="Arial"/>
        </w:rPr>
        <w:t xml:space="preserve">La SESAJ trabajará en una ruta de implementación que considera la firma de acuerdos jurídicos entre poderes, talleres de implementación de acciones de corrupción y programas de seguimiento y de evaluación. Ello con el apoyo de proyectos estratégicos como </w:t>
      </w:r>
      <w:r w:rsidRPr="006C1117">
        <w:rPr>
          <w:rFonts w:ascii="Arial" w:hAnsi="Arial" w:cs="Arial"/>
        </w:rPr>
        <w:t>Gobierno Abierto para la planeación 2023-2028 de la Secretaría Ejecutiva</w:t>
      </w:r>
      <w:r w:rsidRPr="0017408D">
        <w:rPr>
          <w:rFonts w:ascii="Arial" w:hAnsi="Arial" w:cs="Arial"/>
        </w:rPr>
        <w:t xml:space="preserve">; </w:t>
      </w:r>
      <w:r w:rsidRPr="006C1117">
        <w:rPr>
          <w:rFonts w:ascii="Arial" w:hAnsi="Arial" w:cs="Arial"/>
        </w:rPr>
        <w:t>Programa Actívate-Conoce-Consulta-Enseña-Desarrolla-Ejecuta (ACCEDE)</w:t>
      </w:r>
      <w:r w:rsidRPr="0017408D">
        <w:rPr>
          <w:rFonts w:ascii="Arial" w:hAnsi="Arial" w:cs="Arial"/>
        </w:rPr>
        <w:t>; al</w:t>
      </w:r>
      <w:r w:rsidRPr="006C1117">
        <w:rPr>
          <w:rFonts w:ascii="Arial" w:hAnsi="Arial" w:cs="Arial"/>
        </w:rPr>
        <w:t xml:space="preserve">ianzas </w:t>
      </w:r>
      <w:r w:rsidRPr="0017408D">
        <w:rPr>
          <w:rFonts w:ascii="Arial" w:hAnsi="Arial" w:cs="Arial"/>
        </w:rPr>
        <w:t>estatales, nacionales e internacionales; m</w:t>
      </w:r>
      <w:r w:rsidRPr="006C1117">
        <w:rPr>
          <w:rFonts w:ascii="Arial" w:hAnsi="Arial" w:cs="Arial"/>
        </w:rPr>
        <w:t>esas de trabajo del Comité Coordinador con la Comisión de Vigilancia y Sistema Anticorrupción del Congreso del Estado de Jalisco</w:t>
      </w:r>
      <w:r w:rsidRPr="0017408D">
        <w:rPr>
          <w:rFonts w:ascii="Arial" w:hAnsi="Arial" w:cs="Arial"/>
        </w:rPr>
        <w:t xml:space="preserve">; </w:t>
      </w:r>
      <w:r w:rsidRPr="0017408D">
        <w:rPr>
          <w:rFonts w:ascii="Arial" w:hAnsi="Arial" w:cs="Arial"/>
        </w:rPr>
        <w:lastRenderedPageBreak/>
        <w:t>y a</w:t>
      </w:r>
      <w:r w:rsidRPr="006C1117">
        <w:rPr>
          <w:rFonts w:ascii="Arial" w:hAnsi="Arial" w:cs="Arial"/>
        </w:rPr>
        <w:t>sistencia técnica y logística a la Comisión de Selección de los integrantes del Comité de Participación Social</w:t>
      </w:r>
      <w:r w:rsidRPr="0017408D">
        <w:rPr>
          <w:rFonts w:ascii="Arial" w:hAnsi="Arial" w:cs="Arial"/>
        </w:rPr>
        <w:t>.</w:t>
      </w:r>
    </w:p>
    <w:p w14:paraId="552C8986" w14:textId="28A4B1DF" w:rsidR="00C914DD" w:rsidRPr="0017408D" w:rsidRDefault="00C914DD" w:rsidP="001E2E03">
      <w:pPr>
        <w:jc w:val="both"/>
        <w:rPr>
          <w:rFonts w:ascii="Arial" w:hAnsi="Arial" w:cs="Arial"/>
        </w:rPr>
      </w:pPr>
    </w:p>
    <w:p w14:paraId="19ACEAD6" w14:textId="432AF69A" w:rsidR="00981180" w:rsidRPr="0017408D" w:rsidRDefault="00C914DD" w:rsidP="00862515">
      <w:pPr>
        <w:jc w:val="both"/>
        <w:rPr>
          <w:rFonts w:ascii="Arial" w:hAnsi="Arial" w:cs="Arial"/>
          <w:color w:val="000000" w:themeColor="text1"/>
        </w:rPr>
      </w:pPr>
      <w:r w:rsidRPr="0017408D">
        <w:rPr>
          <w:rFonts w:ascii="Arial" w:hAnsi="Arial" w:cs="Arial"/>
        </w:rPr>
        <w:t>Ambos documentos</w:t>
      </w:r>
      <w:r w:rsidR="009F2849" w:rsidRPr="0017408D">
        <w:rPr>
          <w:rFonts w:ascii="Arial" w:hAnsi="Arial" w:cs="Arial"/>
        </w:rPr>
        <w:t xml:space="preserve"> aprobados</w:t>
      </w:r>
      <w:r w:rsidRPr="0017408D">
        <w:rPr>
          <w:rFonts w:ascii="Arial" w:hAnsi="Arial" w:cs="Arial"/>
        </w:rPr>
        <w:t xml:space="preserve"> </w:t>
      </w:r>
      <w:r w:rsidR="009160B9" w:rsidRPr="0017408D">
        <w:rPr>
          <w:rFonts w:ascii="Arial" w:hAnsi="Arial" w:cs="Arial"/>
        </w:rPr>
        <w:t>guardan estructura af</w:t>
      </w:r>
      <w:r w:rsidR="00862515" w:rsidRPr="0017408D">
        <w:rPr>
          <w:rFonts w:ascii="Arial" w:hAnsi="Arial" w:cs="Arial"/>
        </w:rPr>
        <w:t>ín</w:t>
      </w:r>
      <w:r w:rsidR="009160B9" w:rsidRPr="0017408D">
        <w:rPr>
          <w:rFonts w:ascii="Arial" w:hAnsi="Arial" w:cs="Arial"/>
        </w:rPr>
        <w:t xml:space="preserve"> </w:t>
      </w:r>
      <w:r w:rsidR="00862515" w:rsidRPr="0017408D">
        <w:rPr>
          <w:rFonts w:ascii="Arial" w:hAnsi="Arial" w:cs="Arial"/>
        </w:rPr>
        <w:t>-</w:t>
      </w:r>
      <w:r w:rsidR="009160B9" w:rsidRPr="0017408D">
        <w:rPr>
          <w:rFonts w:ascii="Arial" w:hAnsi="Arial" w:cs="Arial"/>
        </w:rPr>
        <w:t>en su forma</w:t>
      </w:r>
      <w:r w:rsidR="00862515" w:rsidRPr="0017408D">
        <w:rPr>
          <w:rFonts w:ascii="Arial" w:hAnsi="Arial" w:cs="Arial"/>
        </w:rPr>
        <w:t>-,</w:t>
      </w:r>
      <w:r w:rsidR="009160B9" w:rsidRPr="0017408D">
        <w:rPr>
          <w:rFonts w:ascii="Arial" w:hAnsi="Arial" w:cs="Arial"/>
        </w:rPr>
        <w:t xml:space="preserve"> al </w:t>
      </w:r>
      <w:r w:rsidRPr="0017408D">
        <w:rPr>
          <w:rFonts w:ascii="Arial" w:hAnsi="Arial" w:cs="Arial"/>
        </w:rPr>
        <w:t xml:space="preserve">Programa de Trabajo Anual del Comité Coordinador del Sistema Nacional Anticorrupción y </w:t>
      </w:r>
      <w:r w:rsidR="009160B9" w:rsidRPr="0017408D">
        <w:rPr>
          <w:rFonts w:ascii="Arial" w:hAnsi="Arial" w:cs="Arial"/>
        </w:rPr>
        <w:t xml:space="preserve">respetan </w:t>
      </w:r>
      <w:r w:rsidRPr="0017408D">
        <w:rPr>
          <w:rFonts w:ascii="Arial" w:hAnsi="Arial" w:cs="Arial"/>
        </w:rPr>
        <w:t xml:space="preserve">los acuerdos de México en convenciones internacionales como la </w:t>
      </w:r>
      <w:r w:rsidRPr="0017408D">
        <w:rPr>
          <w:rFonts w:ascii="Arial" w:hAnsi="Arial" w:cs="Arial"/>
          <w:color w:val="000000" w:themeColor="text1"/>
        </w:rPr>
        <w:t xml:space="preserve">Convención Interamericana contra la Corrupción de la Organización de Estados Americanos </w:t>
      </w:r>
      <w:r w:rsidRPr="0017408D">
        <w:rPr>
          <w:rFonts w:ascii="Arial" w:hAnsi="Arial" w:cs="Arial"/>
        </w:rPr>
        <w:t xml:space="preserve">(1997); la </w:t>
      </w:r>
      <w:r w:rsidRPr="0017408D">
        <w:rPr>
          <w:rFonts w:ascii="Arial" w:hAnsi="Arial" w:cs="Arial"/>
          <w:color w:val="000000" w:themeColor="text1"/>
        </w:rPr>
        <w:t xml:space="preserve">Convención para Combatir el Cohecho de Servidores Públicos Extranjeros en Transacciones Comerciales Internacionales de la Organización para la Cooperación y el Desarrollo Económicos </w:t>
      </w:r>
      <w:r w:rsidRPr="0017408D">
        <w:rPr>
          <w:rFonts w:ascii="Arial" w:hAnsi="Arial" w:cs="Arial"/>
        </w:rPr>
        <w:t xml:space="preserve">(1997) y la </w:t>
      </w:r>
      <w:r w:rsidRPr="0017408D">
        <w:rPr>
          <w:rFonts w:ascii="Arial" w:hAnsi="Arial" w:cs="Arial"/>
          <w:color w:val="000000" w:themeColor="text1"/>
        </w:rPr>
        <w:t>Convención de las Naciones Unidas Contra la Corrupción</w:t>
      </w:r>
      <w:r w:rsidRPr="0017408D">
        <w:rPr>
          <w:rStyle w:val="Refdenotaalpie"/>
          <w:rFonts w:ascii="Arial" w:hAnsi="Arial" w:cs="Arial"/>
          <w:color w:val="000000" w:themeColor="text1"/>
        </w:rPr>
        <w:footnoteReference w:id="2"/>
      </w:r>
      <w:r w:rsidRPr="0017408D">
        <w:rPr>
          <w:rFonts w:ascii="Arial" w:hAnsi="Arial" w:cs="Arial"/>
          <w:color w:val="000000" w:themeColor="text1"/>
        </w:rPr>
        <w:t xml:space="preserve"> </w:t>
      </w:r>
      <w:r w:rsidRPr="0017408D">
        <w:rPr>
          <w:rFonts w:ascii="Arial" w:hAnsi="Arial" w:cs="Arial"/>
        </w:rPr>
        <w:t>(2003).</w:t>
      </w:r>
    </w:p>
    <w:sectPr w:rsidR="00981180" w:rsidRPr="0017408D" w:rsidSect="00B82FB1">
      <w:headerReference w:type="default" r:id="rId11"/>
      <w:footerReference w:type="even" r:id="rId12"/>
      <w:footerReference w:type="default" r:id="rId13"/>
      <w:pgSz w:w="12240" w:h="15840"/>
      <w:pgMar w:top="1418" w:right="1418" w:bottom="1418" w:left="1418" w:header="255"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105D" w14:textId="77777777" w:rsidR="002624C2" w:rsidRDefault="002624C2">
      <w:r>
        <w:separator/>
      </w:r>
    </w:p>
  </w:endnote>
  <w:endnote w:type="continuationSeparator" w:id="0">
    <w:p w14:paraId="4194734F" w14:textId="77777777" w:rsidR="002624C2" w:rsidRDefault="0026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t">
    <w:altName w:val="Arial"/>
    <w:charset w:val="01"/>
    <w:family w:val="auto"/>
    <w:pitch w:val="variable"/>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FAB0"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6A2DEA0E"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9453" w14:textId="77777777" w:rsidR="00BD7A12" w:rsidRDefault="00992F03" w:rsidP="00350FD8">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58240" behindDoc="1" locked="0" layoutInCell="1" allowOverlap="1" wp14:anchorId="35396676" wp14:editId="761C8F10">
          <wp:simplePos x="0" y="0"/>
          <wp:positionH relativeFrom="column">
            <wp:posOffset>-786130</wp:posOffset>
          </wp:positionH>
          <wp:positionV relativeFrom="paragraph">
            <wp:posOffset>-133350</wp:posOffset>
          </wp:positionV>
          <wp:extent cx="7548880" cy="467995"/>
          <wp:effectExtent l="0" t="0" r="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p>
  <w:p w14:paraId="1F26F352"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6C33" w14:textId="77777777" w:rsidR="002624C2" w:rsidRDefault="002624C2">
      <w:r>
        <w:separator/>
      </w:r>
    </w:p>
  </w:footnote>
  <w:footnote w:type="continuationSeparator" w:id="0">
    <w:p w14:paraId="31127C01" w14:textId="77777777" w:rsidR="002624C2" w:rsidRDefault="002624C2">
      <w:r>
        <w:continuationSeparator/>
      </w:r>
    </w:p>
  </w:footnote>
  <w:footnote w:id="1">
    <w:p w14:paraId="3F4DF55A" w14:textId="77777777" w:rsidR="00D024CE" w:rsidRPr="001855F3" w:rsidRDefault="00D024CE" w:rsidP="00D024CE">
      <w:pPr>
        <w:pStyle w:val="Textonotapie"/>
        <w:rPr>
          <w:i/>
          <w:iCs/>
          <w:lang w:val="es-MX"/>
        </w:rPr>
      </w:pPr>
      <w:r>
        <w:rPr>
          <w:rStyle w:val="Refdenotaalpie"/>
        </w:rPr>
        <w:footnoteRef/>
      </w:r>
      <w:r>
        <w:t xml:space="preserve"> </w:t>
      </w:r>
      <w:r>
        <w:rPr>
          <w:lang w:val="es-MX"/>
        </w:rPr>
        <w:t xml:space="preserve">Artículo 7 de la </w:t>
      </w:r>
      <w:r>
        <w:rPr>
          <w:i/>
          <w:iCs/>
          <w:lang w:val="es-MX"/>
        </w:rPr>
        <w:t>Ley del Sistema Anticorrupción del Estado de Jalisco.</w:t>
      </w:r>
    </w:p>
  </w:footnote>
  <w:footnote w:id="2">
    <w:p w14:paraId="68D82026" w14:textId="77777777" w:rsidR="00C914DD" w:rsidRPr="00230C21" w:rsidRDefault="00C914DD" w:rsidP="00C914DD">
      <w:pPr>
        <w:pStyle w:val="Textonotapie"/>
      </w:pPr>
      <w:r>
        <w:rPr>
          <w:rStyle w:val="Refdenotaalpie"/>
        </w:rPr>
        <w:footnoteRef/>
      </w:r>
      <w:r>
        <w:t xml:space="preserve"> </w:t>
      </w:r>
      <w:r w:rsidRPr="005069AE">
        <w:t xml:space="preserve">En 2022 </w:t>
      </w:r>
      <w:r>
        <w:t xml:space="preserve">como parte del mecanismo nacional de revisión entre pares de la aplicación de la Convención de las Naciones Unidas contra la Corrupción México, se analizó la implementación de tres artículos de la Convención: 9° en materia de contrataciones públicas y gestión de la hacienda pública; 10° en materia de acceso a la información; y, 33° en materia de protección a personas denunciantes de hechos de corrupción. Los resultados para el Estado de Jalisco pueden consultarse en la siguiente liga: </w:t>
      </w:r>
      <w:r w:rsidRPr="00FC4E10">
        <w:t>https://www.unodc.org/lpomex/uploads/documents/Publicaciones/Corrupcion/Mecanismo-nacional-revision-entre-pares/Informe_Final_de_Jalisco.pdf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F751" w14:textId="77777777" w:rsidR="00947DCA" w:rsidRDefault="00947DCA" w:rsidP="00BB174E">
    <w:pPr>
      <w:tabs>
        <w:tab w:val="center" w:pos="4419"/>
        <w:tab w:val="right" w:pos="8838"/>
      </w:tabs>
      <w:ind w:right="-1425"/>
      <w:rPr>
        <w:color w:val="5B9BD5"/>
        <w:sz w:val="21"/>
        <w:szCs w:val="21"/>
      </w:rPr>
    </w:pPr>
  </w:p>
  <w:p w14:paraId="1888B259" w14:textId="77777777" w:rsidR="00947DCA" w:rsidRDefault="00947DCA" w:rsidP="00BB174E">
    <w:pPr>
      <w:tabs>
        <w:tab w:val="center" w:pos="4419"/>
        <w:tab w:val="right" w:pos="8838"/>
      </w:tabs>
      <w:ind w:right="-1425"/>
      <w:rPr>
        <w:color w:val="5B9BD5"/>
        <w:sz w:val="21"/>
        <w:szCs w:val="21"/>
      </w:rPr>
    </w:pPr>
  </w:p>
  <w:p w14:paraId="4F2EC497" w14:textId="77777777" w:rsidR="00A179EF" w:rsidRDefault="00A179EF" w:rsidP="00BB174E">
    <w:pPr>
      <w:tabs>
        <w:tab w:val="center" w:pos="4419"/>
        <w:tab w:val="right" w:pos="8838"/>
      </w:tabs>
      <w:ind w:right="-1425"/>
      <w:rPr>
        <w:color w:val="5B9BD5"/>
        <w:sz w:val="21"/>
        <w:szCs w:val="21"/>
      </w:rPr>
    </w:pPr>
  </w:p>
  <w:p w14:paraId="5038C0E7" w14:textId="77777777" w:rsidR="00A179EF" w:rsidRDefault="00EC7D25" w:rsidP="00BB174E">
    <w:pPr>
      <w:tabs>
        <w:tab w:val="center" w:pos="4419"/>
        <w:tab w:val="right" w:pos="8838"/>
      </w:tabs>
      <w:ind w:right="-1425"/>
      <w:rPr>
        <w:color w:val="5B9BD5"/>
        <w:sz w:val="21"/>
        <w:szCs w:val="21"/>
      </w:rPr>
    </w:pPr>
    <w:r>
      <w:rPr>
        <w:noProof/>
        <w:color w:val="5B9BD5"/>
        <w:sz w:val="21"/>
        <w:szCs w:val="21"/>
      </w:rPr>
      <w:drawing>
        <wp:inline distT="0" distB="0" distL="0" distR="0" wp14:anchorId="4F196960" wp14:editId="1CEC6DB4">
          <wp:extent cx="3571875" cy="68180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2C4D34E9" w14:textId="77777777" w:rsidR="00947DCA" w:rsidRDefault="00947DCA" w:rsidP="00BB174E">
    <w:pPr>
      <w:tabs>
        <w:tab w:val="center" w:pos="4419"/>
        <w:tab w:val="right" w:pos="8838"/>
      </w:tabs>
      <w:ind w:right="-1425"/>
      <w:rPr>
        <w:color w:val="5B9BD5"/>
        <w:sz w:val="21"/>
        <w:szCs w:val="21"/>
      </w:rPr>
    </w:pPr>
  </w:p>
  <w:p w14:paraId="28F3A411" w14:textId="77777777" w:rsidR="00BD7A12" w:rsidRDefault="00BD7A12">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652"/>
    <w:multiLevelType w:val="hybridMultilevel"/>
    <w:tmpl w:val="B400FDE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A785D53"/>
    <w:multiLevelType w:val="multilevel"/>
    <w:tmpl w:val="088C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82184"/>
    <w:multiLevelType w:val="multilevel"/>
    <w:tmpl w:val="E418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50619"/>
    <w:multiLevelType w:val="hybridMultilevel"/>
    <w:tmpl w:val="16A621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63563E"/>
    <w:multiLevelType w:val="hybridMultilevel"/>
    <w:tmpl w:val="B77CA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E70D03"/>
    <w:multiLevelType w:val="hybridMultilevel"/>
    <w:tmpl w:val="BC38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731F24"/>
    <w:multiLevelType w:val="multilevel"/>
    <w:tmpl w:val="B26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07664"/>
    <w:multiLevelType w:val="multilevel"/>
    <w:tmpl w:val="39C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33B04"/>
    <w:multiLevelType w:val="multilevel"/>
    <w:tmpl w:val="7938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D5293"/>
    <w:multiLevelType w:val="hybridMultilevel"/>
    <w:tmpl w:val="C22A7DE0"/>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6887521C"/>
    <w:multiLevelType w:val="hybridMultilevel"/>
    <w:tmpl w:val="67DE4CBC"/>
    <w:lvl w:ilvl="0" w:tplc="080A0003">
      <w:start w:val="1"/>
      <w:numFmt w:val="bullet"/>
      <w:lvlText w:val="o"/>
      <w:lvlJc w:val="left"/>
      <w:pPr>
        <w:ind w:left="1080" w:hanging="360"/>
      </w:pPr>
      <w:rPr>
        <w:rFonts w:ascii="Courier New" w:hAnsi="Courier New" w:cs="Courier New"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8BB191F"/>
    <w:multiLevelType w:val="multilevel"/>
    <w:tmpl w:val="BB22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07C15"/>
    <w:multiLevelType w:val="multilevel"/>
    <w:tmpl w:val="065A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735F57"/>
    <w:multiLevelType w:val="multilevel"/>
    <w:tmpl w:val="AFC2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1A5391"/>
    <w:multiLevelType w:val="hybridMultilevel"/>
    <w:tmpl w:val="7D0468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BD466D"/>
    <w:multiLevelType w:val="hybridMultilevel"/>
    <w:tmpl w:val="E6500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49570174">
    <w:abstractNumId w:val="14"/>
  </w:num>
  <w:num w:numId="2" w16cid:durableId="1936934255">
    <w:abstractNumId w:val="16"/>
  </w:num>
  <w:num w:numId="3" w16cid:durableId="875391840">
    <w:abstractNumId w:val="8"/>
  </w:num>
  <w:num w:numId="4" w16cid:durableId="2070178817">
    <w:abstractNumId w:val="2"/>
  </w:num>
  <w:num w:numId="5" w16cid:durableId="1610696491">
    <w:abstractNumId w:val="6"/>
  </w:num>
  <w:num w:numId="6" w16cid:durableId="1957639314">
    <w:abstractNumId w:val="7"/>
  </w:num>
  <w:num w:numId="7" w16cid:durableId="294525804">
    <w:abstractNumId w:val="1"/>
  </w:num>
  <w:num w:numId="8" w16cid:durableId="859973443">
    <w:abstractNumId w:val="12"/>
  </w:num>
  <w:num w:numId="9" w16cid:durableId="1573805904">
    <w:abstractNumId w:val="13"/>
  </w:num>
  <w:num w:numId="10" w16cid:durableId="856507716">
    <w:abstractNumId w:val="11"/>
  </w:num>
  <w:num w:numId="11" w16cid:durableId="886918460">
    <w:abstractNumId w:val="5"/>
  </w:num>
  <w:num w:numId="12" w16cid:durableId="1065689776">
    <w:abstractNumId w:val="0"/>
  </w:num>
  <w:num w:numId="13" w16cid:durableId="1089355320">
    <w:abstractNumId w:val="3"/>
  </w:num>
  <w:num w:numId="14" w16cid:durableId="303001204">
    <w:abstractNumId w:val="4"/>
  </w:num>
  <w:num w:numId="15" w16cid:durableId="628318320">
    <w:abstractNumId w:val="15"/>
  </w:num>
  <w:num w:numId="16" w16cid:durableId="1869835514">
    <w:abstractNumId w:val="9"/>
  </w:num>
  <w:num w:numId="17" w16cid:durableId="255673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20"/>
    <w:rsid w:val="0002557B"/>
    <w:rsid w:val="000A678D"/>
    <w:rsid w:val="000F0B7B"/>
    <w:rsid w:val="00136BB0"/>
    <w:rsid w:val="0017408D"/>
    <w:rsid w:val="00187922"/>
    <w:rsid w:val="001B21DA"/>
    <w:rsid w:val="001D6D73"/>
    <w:rsid w:val="001E2E03"/>
    <w:rsid w:val="001E428D"/>
    <w:rsid w:val="0020730A"/>
    <w:rsid w:val="00211CA3"/>
    <w:rsid w:val="00244E19"/>
    <w:rsid w:val="002624C2"/>
    <w:rsid w:val="002843AA"/>
    <w:rsid w:val="002873D1"/>
    <w:rsid w:val="00295526"/>
    <w:rsid w:val="002A6B7A"/>
    <w:rsid w:val="002B6EAF"/>
    <w:rsid w:val="002C2B92"/>
    <w:rsid w:val="002D4D77"/>
    <w:rsid w:val="00306C9F"/>
    <w:rsid w:val="00333274"/>
    <w:rsid w:val="00350FD8"/>
    <w:rsid w:val="00351CE5"/>
    <w:rsid w:val="00392058"/>
    <w:rsid w:val="003926CB"/>
    <w:rsid w:val="003B46F4"/>
    <w:rsid w:val="003D61E9"/>
    <w:rsid w:val="003E249F"/>
    <w:rsid w:val="004644C5"/>
    <w:rsid w:val="004D33F5"/>
    <w:rsid w:val="004E20D0"/>
    <w:rsid w:val="00506494"/>
    <w:rsid w:val="005127F4"/>
    <w:rsid w:val="005419F1"/>
    <w:rsid w:val="005C7964"/>
    <w:rsid w:val="005D41D4"/>
    <w:rsid w:val="005D6E6B"/>
    <w:rsid w:val="0060399E"/>
    <w:rsid w:val="00605A20"/>
    <w:rsid w:val="00637C76"/>
    <w:rsid w:val="0066653E"/>
    <w:rsid w:val="006A1764"/>
    <w:rsid w:val="006A268B"/>
    <w:rsid w:val="006B0269"/>
    <w:rsid w:val="006C6622"/>
    <w:rsid w:val="006F7AFB"/>
    <w:rsid w:val="0073615C"/>
    <w:rsid w:val="00747EF6"/>
    <w:rsid w:val="00790279"/>
    <w:rsid w:val="007A158B"/>
    <w:rsid w:val="007C0118"/>
    <w:rsid w:val="007D73F9"/>
    <w:rsid w:val="00862515"/>
    <w:rsid w:val="0087022A"/>
    <w:rsid w:val="008F7360"/>
    <w:rsid w:val="009160B9"/>
    <w:rsid w:val="00947DCA"/>
    <w:rsid w:val="009505B0"/>
    <w:rsid w:val="00952F88"/>
    <w:rsid w:val="009802E1"/>
    <w:rsid w:val="00981180"/>
    <w:rsid w:val="00992F03"/>
    <w:rsid w:val="009B10CF"/>
    <w:rsid w:val="009B205A"/>
    <w:rsid w:val="009F2849"/>
    <w:rsid w:val="00A179EF"/>
    <w:rsid w:val="00A43AB2"/>
    <w:rsid w:val="00A45699"/>
    <w:rsid w:val="00A63624"/>
    <w:rsid w:val="00AA1970"/>
    <w:rsid w:val="00AA6D2C"/>
    <w:rsid w:val="00AF372E"/>
    <w:rsid w:val="00B7704E"/>
    <w:rsid w:val="00B82FB1"/>
    <w:rsid w:val="00B91EA6"/>
    <w:rsid w:val="00B95CD1"/>
    <w:rsid w:val="00BA3009"/>
    <w:rsid w:val="00BB174E"/>
    <w:rsid w:val="00BD3457"/>
    <w:rsid w:val="00BD7A12"/>
    <w:rsid w:val="00BE0750"/>
    <w:rsid w:val="00BF11D1"/>
    <w:rsid w:val="00BF11DF"/>
    <w:rsid w:val="00BF7600"/>
    <w:rsid w:val="00C0039F"/>
    <w:rsid w:val="00C017E9"/>
    <w:rsid w:val="00C27304"/>
    <w:rsid w:val="00C324AE"/>
    <w:rsid w:val="00C6248A"/>
    <w:rsid w:val="00C80992"/>
    <w:rsid w:val="00C914DD"/>
    <w:rsid w:val="00C94711"/>
    <w:rsid w:val="00D024CE"/>
    <w:rsid w:val="00D17821"/>
    <w:rsid w:val="00D2586E"/>
    <w:rsid w:val="00D7571E"/>
    <w:rsid w:val="00D81290"/>
    <w:rsid w:val="00DA66D5"/>
    <w:rsid w:val="00DB169F"/>
    <w:rsid w:val="00DE1C32"/>
    <w:rsid w:val="00DE6FCB"/>
    <w:rsid w:val="00E1288C"/>
    <w:rsid w:val="00E17C15"/>
    <w:rsid w:val="00E333CD"/>
    <w:rsid w:val="00E61E0A"/>
    <w:rsid w:val="00E77044"/>
    <w:rsid w:val="00E922D4"/>
    <w:rsid w:val="00EB7260"/>
    <w:rsid w:val="00EC7D25"/>
    <w:rsid w:val="00ED2BAA"/>
    <w:rsid w:val="00EE6638"/>
    <w:rsid w:val="00F118E6"/>
    <w:rsid w:val="00F35A3B"/>
    <w:rsid w:val="00F451D6"/>
    <w:rsid w:val="00F662A6"/>
    <w:rsid w:val="00F951F2"/>
    <w:rsid w:val="00FA04B3"/>
    <w:rsid w:val="00FB0437"/>
    <w:rsid w:val="00FB593D"/>
    <w:rsid w:val="00FC5899"/>
    <w:rsid w:val="00FC73DD"/>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75124"/>
  <w15:docId w15:val="{BE970919-31D4-49C8-B4D8-F9241006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E4"/>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5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character" w:styleId="Textoennegrita">
    <w:name w:val="Strong"/>
    <w:basedOn w:val="Fuentedeprrafopredeter"/>
    <w:uiPriority w:val="22"/>
    <w:qFormat/>
    <w:rsid w:val="007D73F9"/>
    <w:rPr>
      <w:b/>
      <w:bCs/>
    </w:rPr>
  </w:style>
  <w:style w:type="character" w:styleId="Mencinsinresolver">
    <w:name w:val="Unresolved Mention"/>
    <w:basedOn w:val="Fuentedeprrafopredeter"/>
    <w:uiPriority w:val="99"/>
    <w:rsid w:val="00E1288C"/>
    <w:rPr>
      <w:color w:val="605E5C"/>
      <w:shd w:val="clear" w:color="auto" w:fill="E1DFDD"/>
    </w:rPr>
  </w:style>
  <w:style w:type="character" w:customStyle="1" w:styleId="markedcontent">
    <w:name w:val="markedcontent"/>
    <w:basedOn w:val="Fuentedeprrafopredeter"/>
    <w:rsid w:val="00351CE5"/>
  </w:style>
  <w:style w:type="table" w:customStyle="1" w:styleId="TableNormal">
    <w:name w:val="Table Normal"/>
    <w:uiPriority w:val="2"/>
    <w:semiHidden/>
    <w:unhideWhenUsed/>
    <w:qFormat/>
    <w:rsid w:val="005D41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41D4"/>
    <w:pPr>
      <w:widowControl w:val="0"/>
      <w:autoSpaceDE w:val="0"/>
      <w:autoSpaceDN w:val="0"/>
    </w:pPr>
    <w:rPr>
      <w:rFonts w:ascii="Roboto Lt" w:eastAsia="Roboto Lt" w:hAnsi="Roboto Lt" w:cs="Roboto L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879">
      <w:bodyDiv w:val="1"/>
      <w:marLeft w:val="0"/>
      <w:marRight w:val="0"/>
      <w:marTop w:val="0"/>
      <w:marBottom w:val="0"/>
      <w:divBdr>
        <w:top w:val="none" w:sz="0" w:space="0" w:color="auto"/>
        <w:left w:val="none" w:sz="0" w:space="0" w:color="auto"/>
        <w:bottom w:val="none" w:sz="0" w:space="0" w:color="auto"/>
        <w:right w:val="none" w:sz="0" w:space="0" w:color="auto"/>
      </w:divBdr>
    </w:div>
    <w:div w:id="274751756">
      <w:bodyDiv w:val="1"/>
      <w:marLeft w:val="0"/>
      <w:marRight w:val="0"/>
      <w:marTop w:val="0"/>
      <w:marBottom w:val="0"/>
      <w:divBdr>
        <w:top w:val="none" w:sz="0" w:space="0" w:color="auto"/>
        <w:left w:val="none" w:sz="0" w:space="0" w:color="auto"/>
        <w:bottom w:val="none" w:sz="0" w:space="0" w:color="auto"/>
        <w:right w:val="none" w:sz="0" w:space="0" w:color="auto"/>
      </w:divBdr>
    </w:div>
    <w:div w:id="618803164">
      <w:bodyDiv w:val="1"/>
      <w:marLeft w:val="0"/>
      <w:marRight w:val="0"/>
      <w:marTop w:val="0"/>
      <w:marBottom w:val="0"/>
      <w:divBdr>
        <w:top w:val="none" w:sz="0" w:space="0" w:color="auto"/>
        <w:left w:val="none" w:sz="0" w:space="0" w:color="auto"/>
        <w:bottom w:val="none" w:sz="0" w:space="0" w:color="auto"/>
        <w:right w:val="none" w:sz="0" w:space="0" w:color="auto"/>
      </w:divBdr>
    </w:div>
    <w:div w:id="775908474">
      <w:bodyDiv w:val="1"/>
      <w:marLeft w:val="0"/>
      <w:marRight w:val="0"/>
      <w:marTop w:val="0"/>
      <w:marBottom w:val="0"/>
      <w:divBdr>
        <w:top w:val="none" w:sz="0" w:space="0" w:color="auto"/>
        <w:left w:val="none" w:sz="0" w:space="0" w:color="auto"/>
        <w:bottom w:val="none" w:sz="0" w:space="0" w:color="auto"/>
        <w:right w:val="none" w:sz="0" w:space="0" w:color="auto"/>
      </w:divBdr>
    </w:div>
    <w:div w:id="786199466">
      <w:bodyDiv w:val="1"/>
      <w:marLeft w:val="0"/>
      <w:marRight w:val="0"/>
      <w:marTop w:val="0"/>
      <w:marBottom w:val="0"/>
      <w:divBdr>
        <w:top w:val="none" w:sz="0" w:space="0" w:color="auto"/>
        <w:left w:val="none" w:sz="0" w:space="0" w:color="auto"/>
        <w:bottom w:val="none" w:sz="0" w:space="0" w:color="auto"/>
        <w:right w:val="none" w:sz="0" w:space="0" w:color="auto"/>
      </w:divBdr>
    </w:div>
    <w:div w:id="835918805">
      <w:bodyDiv w:val="1"/>
      <w:marLeft w:val="0"/>
      <w:marRight w:val="0"/>
      <w:marTop w:val="0"/>
      <w:marBottom w:val="0"/>
      <w:divBdr>
        <w:top w:val="none" w:sz="0" w:space="0" w:color="auto"/>
        <w:left w:val="none" w:sz="0" w:space="0" w:color="auto"/>
        <w:bottom w:val="none" w:sz="0" w:space="0" w:color="auto"/>
        <w:right w:val="none" w:sz="0" w:space="0" w:color="auto"/>
      </w:divBdr>
    </w:div>
    <w:div w:id="855077324">
      <w:bodyDiv w:val="1"/>
      <w:marLeft w:val="0"/>
      <w:marRight w:val="0"/>
      <w:marTop w:val="0"/>
      <w:marBottom w:val="0"/>
      <w:divBdr>
        <w:top w:val="none" w:sz="0" w:space="0" w:color="auto"/>
        <w:left w:val="none" w:sz="0" w:space="0" w:color="auto"/>
        <w:bottom w:val="none" w:sz="0" w:space="0" w:color="auto"/>
        <w:right w:val="none" w:sz="0" w:space="0" w:color="auto"/>
      </w:divBdr>
    </w:div>
    <w:div w:id="900292720">
      <w:bodyDiv w:val="1"/>
      <w:marLeft w:val="0"/>
      <w:marRight w:val="0"/>
      <w:marTop w:val="0"/>
      <w:marBottom w:val="0"/>
      <w:divBdr>
        <w:top w:val="none" w:sz="0" w:space="0" w:color="auto"/>
        <w:left w:val="none" w:sz="0" w:space="0" w:color="auto"/>
        <w:bottom w:val="none" w:sz="0" w:space="0" w:color="auto"/>
        <w:right w:val="none" w:sz="0" w:space="0" w:color="auto"/>
      </w:divBdr>
    </w:div>
    <w:div w:id="995719279">
      <w:bodyDiv w:val="1"/>
      <w:marLeft w:val="0"/>
      <w:marRight w:val="0"/>
      <w:marTop w:val="0"/>
      <w:marBottom w:val="0"/>
      <w:divBdr>
        <w:top w:val="none" w:sz="0" w:space="0" w:color="auto"/>
        <w:left w:val="none" w:sz="0" w:space="0" w:color="auto"/>
        <w:bottom w:val="none" w:sz="0" w:space="0" w:color="auto"/>
        <w:right w:val="none" w:sz="0" w:space="0" w:color="auto"/>
      </w:divBdr>
    </w:div>
    <w:div w:id="1032077935">
      <w:bodyDiv w:val="1"/>
      <w:marLeft w:val="0"/>
      <w:marRight w:val="0"/>
      <w:marTop w:val="0"/>
      <w:marBottom w:val="0"/>
      <w:divBdr>
        <w:top w:val="none" w:sz="0" w:space="0" w:color="auto"/>
        <w:left w:val="none" w:sz="0" w:space="0" w:color="auto"/>
        <w:bottom w:val="none" w:sz="0" w:space="0" w:color="auto"/>
        <w:right w:val="none" w:sz="0" w:space="0" w:color="auto"/>
      </w:divBdr>
    </w:div>
    <w:div w:id="1284656598">
      <w:bodyDiv w:val="1"/>
      <w:marLeft w:val="0"/>
      <w:marRight w:val="0"/>
      <w:marTop w:val="0"/>
      <w:marBottom w:val="0"/>
      <w:divBdr>
        <w:top w:val="none" w:sz="0" w:space="0" w:color="auto"/>
        <w:left w:val="none" w:sz="0" w:space="0" w:color="auto"/>
        <w:bottom w:val="none" w:sz="0" w:space="0" w:color="auto"/>
        <w:right w:val="none" w:sz="0" w:space="0" w:color="auto"/>
      </w:divBdr>
    </w:div>
    <w:div w:id="1297875498">
      <w:bodyDiv w:val="1"/>
      <w:marLeft w:val="0"/>
      <w:marRight w:val="0"/>
      <w:marTop w:val="0"/>
      <w:marBottom w:val="0"/>
      <w:divBdr>
        <w:top w:val="none" w:sz="0" w:space="0" w:color="auto"/>
        <w:left w:val="none" w:sz="0" w:space="0" w:color="auto"/>
        <w:bottom w:val="none" w:sz="0" w:space="0" w:color="auto"/>
        <w:right w:val="none" w:sz="0" w:space="0" w:color="auto"/>
      </w:divBdr>
    </w:div>
    <w:div w:id="1536230095">
      <w:bodyDiv w:val="1"/>
      <w:marLeft w:val="0"/>
      <w:marRight w:val="0"/>
      <w:marTop w:val="0"/>
      <w:marBottom w:val="0"/>
      <w:divBdr>
        <w:top w:val="none" w:sz="0" w:space="0" w:color="auto"/>
        <w:left w:val="none" w:sz="0" w:space="0" w:color="auto"/>
        <w:bottom w:val="none" w:sz="0" w:space="0" w:color="auto"/>
        <w:right w:val="none" w:sz="0" w:space="0" w:color="auto"/>
      </w:divBdr>
    </w:div>
    <w:div w:id="1849978666">
      <w:bodyDiv w:val="1"/>
      <w:marLeft w:val="0"/>
      <w:marRight w:val="0"/>
      <w:marTop w:val="0"/>
      <w:marBottom w:val="0"/>
      <w:divBdr>
        <w:top w:val="none" w:sz="0" w:space="0" w:color="auto"/>
        <w:left w:val="none" w:sz="0" w:space="0" w:color="auto"/>
        <w:bottom w:val="none" w:sz="0" w:space="0" w:color="auto"/>
        <w:right w:val="none" w:sz="0" w:space="0" w:color="auto"/>
      </w:divBdr>
    </w:div>
    <w:div w:id="1974368419">
      <w:bodyDiv w:val="1"/>
      <w:marLeft w:val="0"/>
      <w:marRight w:val="0"/>
      <w:marTop w:val="0"/>
      <w:marBottom w:val="0"/>
      <w:divBdr>
        <w:top w:val="none" w:sz="0" w:space="0" w:color="auto"/>
        <w:left w:val="none" w:sz="0" w:space="0" w:color="auto"/>
        <w:bottom w:val="none" w:sz="0" w:space="0" w:color="auto"/>
        <w:right w:val="none" w:sz="0" w:space="0" w:color="auto"/>
      </w:divBdr>
    </w:div>
    <w:div w:id="2064601214">
      <w:bodyDiv w:val="1"/>
      <w:marLeft w:val="0"/>
      <w:marRight w:val="0"/>
      <w:marTop w:val="0"/>
      <w:marBottom w:val="0"/>
      <w:divBdr>
        <w:top w:val="none" w:sz="0" w:space="0" w:color="auto"/>
        <w:left w:val="none" w:sz="0" w:space="0" w:color="auto"/>
        <w:bottom w:val="none" w:sz="0" w:space="0" w:color="auto"/>
        <w:right w:val="none" w:sz="0" w:space="0" w:color="auto"/>
      </w:divBdr>
    </w:div>
    <w:div w:id="2087918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s1805182e5-my.sharepoint.com/:f:/g/personal/nelly_landeros_sesaj_org/EoCDI4ZNmW1Fp4LzFEPJenABWD_grvY-PnqSr0rZcDiioA?e=d6nr2f" TargetMode="External"/><Relationship Id="rId4" Type="http://schemas.openxmlformats.org/officeDocument/2006/relationships/styles" Target="styles.xml"/><Relationship Id="rId9" Type="http://schemas.openxmlformats.org/officeDocument/2006/relationships/hyperlink" Target="https://www.youtube.com/watch?v=bRMz-8fi2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ise&#241;o%20y%20Produccion%20Audiovisual\Documentos\2023\Plantillas\Plantillas\Hojas%20membretadas\Hoja%20membretada%20SESA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Hoja membretada SESAJ</Template>
  <TotalTime>174</TotalTime>
  <Pages>3</Pages>
  <Words>915</Words>
  <Characters>5038</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rotceh.sanchez</dc:creator>
  <cp:lastModifiedBy>Nelly Landeros Parra</cp:lastModifiedBy>
  <cp:revision>10</cp:revision>
  <cp:lastPrinted>2023-03-28T18:13:00Z</cp:lastPrinted>
  <dcterms:created xsi:type="dcterms:W3CDTF">2023-03-27T23:16:00Z</dcterms:created>
  <dcterms:modified xsi:type="dcterms:W3CDTF">2023-03-30T20:26:00Z</dcterms:modified>
</cp:coreProperties>
</file>